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A1171">
                <w:rPr>
                  <w:rFonts w:asciiTheme="majorHAnsi" w:hAnsiTheme="majorHAnsi"/>
                  <w:sz w:val="20"/>
                  <w:szCs w:val="20"/>
                </w:rPr>
                <w:t>HSS11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508058256" w:edGrp="everyone"/>
    <w:p w:rsidR="00AF3758" w:rsidRPr="00592A95" w:rsidRDefault="00B15C6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4833">
            <w:rPr>
              <w:rFonts w:ascii="MS Gothic" w:eastAsia="MS Gothic" w:hAnsi="MS Gothic" w:hint="eastAsia"/>
            </w:rPr>
            <w:t>☒</w:t>
          </w:r>
        </w:sdtContent>
      </w:sdt>
      <w:permEnd w:id="50805825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004363857" w:edGrp="everyone"/>
    <w:p w:rsidR="001F5E9E" w:rsidRPr="001F5E9E" w:rsidRDefault="00B15C6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00436385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15C6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79197572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79197572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717404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717404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15C6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5513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5513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74533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745336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15C6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7433357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333577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11041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110419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B15C6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342378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342378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220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2205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15C6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9041492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414928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86381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863814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15C6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052455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524558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96721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967211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15C6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5071210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712104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012889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012889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B15C6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40158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01589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09784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097840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B15C6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0271569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71569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727678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7276783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1483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World Languages and Cultures, wjohnson@astate.edu, 972-2103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21483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Reduce </w:t>
          </w:r>
          <w:r w:rsidR="0018711E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number of hours required for the </w:t>
          </w:r>
          <w:r w:rsidR="00E634F1">
            <w:rPr>
              <w:rFonts w:asciiTheme="majorHAnsi" w:hAnsiTheme="majorHAnsi" w:cs="Arial"/>
              <w:sz w:val="20"/>
              <w:szCs w:val="20"/>
            </w:rPr>
            <w:t xml:space="preserve">World Languages and Cultures BA (Emphasis in French) </w:t>
          </w:r>
          <w:r>
            <w:rPr>
              <w:rFonts w:asciiTheme="majorHAnsi" w:hAnsiTheme="majorHAnsi" w:cs="Arial"/>
              <w:sz w:val="20"/>
              <w:szCs w:val="20"/>
            </w:rPr>
            <w:t>degree from 39 to 30</w:t>
          </w:r>
          <w:r w:rsidR="00D30536">
            <w:rPr>
              <w:rFonts w:asciiTheme="majorHAnsi" w:hAnsiTheme="majorHAnsi" w:cs="Arial"/>
              <w:sz w:val="20"/>
              <w:szCs w:val="20"/>
            </w:rPr>
            <w:t>.  Eliminate FR 3473 (Reading and Composition) as a requirement</w:t>
          </w:r>
          <w:r w:rsidR="001C59D8">
            <w:rPr>
              <w:rFonts w:asciiTheme="majorHAnsi" w:hAnsiTheme="majorHAnsi" w:cs="Arial"/>
              <w:sz w:val="20"/>
              <w:szCs w:val="20"/>
            </w:rPr>
            <w:t>, making it an elective</w:t>
          </w:r>
          <w:r w:rsidR="00D30536">
            <w:rPr>
              <w:rFonts w:asciiTheme="majorHAnsi" w:hAnsiTheme="majorHAnsi" w:cs="Arial"/>
              <w:sz w:val="20"/>
              <w:szCs w:val="20"/>
            </w:rPr>
            <w:t>.  R</w:t>
          </w:r>
          <w:r>
            <w:rPr>
              <w:rFonts w:asciiTheme="majorHAnsi" w:hAnsiTheme="majorHAnsi" w:cs="Arial"/>
              <w:sz w:val="20"/>
              <w:szCs w:val="20"/>
            </w:rPr>
            <w:t xml:space="preserve">equire all </w:t>
          </w:r>
          <w:r w:rsidR="00D30536">
            <w:rPr>
              <w:rFonts w:asciiTheme="majorHAnsi" w:hAnsiTheme="majorHAnsi" w:cs="Arial"/>
              <w:sz w:val="20"/>
              <w:szCs w:val="20"/>
            </w:rPr>
            <w:t>coursework to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E3C4D">
            <w:rPr>
              <w:rFonts w:asciiTheme="majorHAnsi" w:hAnsiTheme="majorHAnsi" w:cs="Arial"/>
              <w:sz w:val="20"/>
              <w:szCs w:val="20"/>
            </w:rPr>
            <w:t>be taught in French.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1483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D30536" w:rsidRDefault="00E87CA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recent program review revealed that t</w:t>
          </w:r>
          <w:r w:rsidR="00214833">
            <w:rPr>
              <w:rFonts w:asciiTheme="majorHAnsi" w:hAnsiTheme="majorHAnsi" w:cs="Arial"/>
              <w:sz w:val="20"/>
              <w:szCs w:val="20"/>
            </w:rPr>
            <w:t>he average for undergraduate degrees at peer institutions in world languages is around 30 hours</w:t>
          </w:r>
          <w:r w:rsidR="00464B06">
            <w:rPr>
              <w:rFonts w:asciiTheme="majorHAnsi" w:hAnsiTheme="majorHAnsi" w:cs="Arial"/>
              <w:sz w:val="20"/>
              <w:szCs w:val="20"/>
            </w:rPr>
            <w:t>.</w:t>
          </w:r>
          <w:r w:rsidR="00EB6A48">
            <w:rPr>
              <w:rFonts w:asciiTheme="majorHAnsi" w:hAnsiTheme="majorHAnsi" w:cs="Arial"/>
              <w:sz w:val="20"/>
              <w:szCs w:val="20"/>
            </w:rPr>
            <w:t xml:space="preserve">  (At UA-Fayetteville, it is 24-27.)</w:t>
          </w:r>
          <w:r w:rsidR="006650C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E1A8B">
            <w:rPr>
              <w:rFonts w:asciiTheme="majorHAnsi" w:hAnsiTheme="majorHAnsi" w:cs="Arial"/>
              <w:sz w:val="20"/>
              <w:szCs w:val="20"/>
            </w:rPr>
            <w:t xml:space="preserve">  One of the outsider review</w:t>
          </w:r>
          <w:r w:rsidR="00FC1FCB">
            <w:rPr>
              <w:rFonts w:asciiTheme="majorHAnsi" w:hAnsiTheme="majorHAnsi" w:cs="Arial"/>
              <w:sz w:val="20"/>
              <w:szCs w:val="20"/>
            </w:rPr>
            <w:t>er</w:t>
          </w:r>
          <w:r w:rsidR="006E1A8B">
            <w:rPr>
              <w:rFonts w:asciiTheme="majorHAnsi" w:hAnsiTheme="majorHAnsi" w:cs="Arial"/>
              <w:sz w:val="20"/>
              <w:szCs w:val="20"/>
            </w:rPr>
            <w:t xml:space="preserve">s for that evaluation suggested that our </w:t>
          </w:r>
          <w:r w:rsidR="006E1A8B">
            <w:rPr>
              <w:rFonts w:asciiTheme="majorHAnsi" w:hAnsiTheme="majorHAnsi" w:cs="Arial"/>
              <w:sz w:val="20"/>
              <w:szCs w:val="20"/>
            </w:rPr>
            <w:lastRenderedPageBreak/>
            <w:t>program objectives could quite feasibly be met while still reducing the minimum number of hours required.</w:t>
          </w:r>
          <w:r w:rsidR="0054285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E1A8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64B06">
            <w:rPr>
              <w:rFonts w:asciiTheme="majorHAnsi" w:hAnsiTheme="majorHAnsi" w:cs="Arial"/>
              <w:sz w:val="20"/>
              <w:szCs w:val="20"/>
            </w:rPr>
            <w:t>Reducing the hour requirement from 39 to 30 hours will encourage students to add a second major or minor</w:t>
          </w:r>
          <w:r w:rsidR="00542852">
            <w:rPr>
              <w:rFonts w:asciiTheme="majorHAnsi" w:hAnsiTheme="majorHAnsi" w:cs="Arial"/>
              <w:sz w:val="20"/>
              <w:szCs w:val="20"/>
            </w:rPr>
            <w:t xml:space="preserve"> (double majors are increasingly the norm in world languages nationally)</w:t>
          </w:r>
          <w:r w:rsidR="00464B06">
            <w:rPr>
              <w:rFonts w:asciiTheme="majorHAnsi" w:hAnsiTheme="majorHAnsi" w:cs="Arial"/>
              <w:sz w:val="20"/>
              <w:szCs w:val="20"/>
            </w:rPr>
            <w:t xml:space="preserve">, thus making </w:t>
          </w:r>
          <w:r>
            <w:rPr>
              <w:rFonts w:asciiTheme="majorHAnsi" w:hAnsiTheme="majorHAnsi" w:cs="Arial"/>
              <w:sz w:val="20"/>
              <w:szCs w:val="20"/>
            </w:rPr>
            <w:t>them</w:t>
          </w:r>
          <w:r w:rsidR="00464B06">
            <w:rPr>
              <w:rFonts w:asciiTheme="majorHAnsi" w:hAnsiTheme="majorHAnsi" w:cs="Arial"/>
              <w:sz w:val="20"/>
              <w:szCs w:val="20"/>
            </w:rPr>
            <w:t xml:space="preserve"> more marketable, while still providing adequate preparation to achieve the desired proficiency level.</w:t>
          </w:r>
          <w:r w:rsidR="00E634F1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FC1FCB">
            <w:rPr>
              <w:rFonts w:asciiTheme="majorHAnsi" w:hAnsiTheme="majorHAnsi" w:cs="Arial"/>
              <w:sz w:val="20"/>
              <w:szCs w:val="20"/>
            </w:rPr>
            <w:br/>
          </w:r>
          <w:r w:rsidR="00FC1FCB">
            <w:rPr>
              <w:rFonts w:asciiTheme="majorHAnsi" w:hAnsiTheme="majorHAnsi" w:cs="Arial"/>
              <w:sz w:val="20"/>
              <w:szCs w:val="20"/>
            </w:rPr>
            <w:br/>
          </w:r>
          <w:r w:rsidR="00D30536">
            <w:rPr>
              <w:rFonts w:asciiTheme="majorHAnsi" w:hAnsiTheme="majorHAnsi" w:cs="Arial"/>
              <w:sz w:val="20"/>
              <w:szCs w:val="20"/>
            </w:rPr>
            <w:t>FR 3473 is somewhat redundant, its content being largely taught in FR 2023 (Intermediate II) and other upper-level courses</w:t>
          </w:r>
          <w:r w:rsidR="00191701">
            <w:rPr>
              <w:rFonts w:asciiTheme="majorHAnsi" w:hAnsiTheme="majorHAnsi" w:cs="Arial"/>
              <w:sz w:val="20"/>
              <w:szCs w:val="20"/>
            </w:rPr>
            <w:t xml:space="preserve">, 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thus </w:t>
          </w:r>
          <w:r w:rsidR="00191701">
            <w:rPr>
              <w:rFonts w:asciiTheme="majorHAnsi" w:hAnsiTheme="majorHAnsi" w:cs="Arial"/>
              <w:sz w:val="20"/>
              <w:szCs w:val="20"/>
            </w:rPr>
            <w:t>may not be needed by all students</w:t>
          </w:r>
          <w:r w:rsidR="00BE4E09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50252B">
            <w:rPr>
              <w:rFonts w:asciiTheme="majorHAnsi" w:hAnsiTheme="majorHAnsi" w:cs="Arial"/>
              <w:sz w:val="20"/>
              <w:szCs w:val="20"/>
            </w:rPr>
            <w:t xml:space="preserve"> Making the course elective rather than required will provide greater flexibility for students.</w:t>
          </w:r>
        </w:p>
        <w:p w:rsidR="00D30536" w:rsidRDefault="00D3053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D3053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When the </w:t>
          </w:r>
          <w:r w:rsidR="00E87CA5">
            <w:rPr>
              <w:rFonts w:asciiTheme="majorHAnsi" w:hAnsiTheme="majorHAnsi" w:cs="Arial"/>
              <w:sz w:val="20"/>
              <w:szCs w:val="20"/>
            </w:rPr>
            <w:t xml:space="preserve">required credit </w:t>
          </w:r>
          <w:r>
            <w:rPr>
              <w:rFonts w:asciiTheme="majorHAnsi" w:hAnsiTheme="majorHAnsi" w:cs="Arial"/>
              <w:sz w:val="20"/>
              <w:szCs w:val="20"/>
            </w:rPr>
            <w:t xml:space="preserve">hours in the World Languages/French BA were raised recently from 30 to 39, students were </w:t>
          </w:r>
          <w:r w:rsidR="0050252B">
            <w:rPr>
              <w:rFonts w:asciiTheme="majorHAnsi" w:hAnsiTheme="majorHAnsi" w:cs="Arial"/>
              <w:sz w:val="20"/>
              <w:szCs w:val="20"/>
            </w:rPr>
            <w:t xml:space="preserve">also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allowed to take up to nine of those hours in courses taught in English (generally outside the department).  Given the small number of such courses available, this </w:t>
          </w:r>
          <w:r w:rsidR="00E87CA5">
            <w:rPr>
              <w:rFonts w:asciiTheme="majorHAnsi" w:hAnsiTheme="majorHAnsi" w:cs="Arial"/>
              <w:sz w:val="20"/>
              <w:szCs w:val="20"/>
            </w:rPr>
            <w:t>option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87CA5">
            <w:rPr>
              <w:rFonts w:asciiTheme="majorHAnsi" w:hAnsiTheme="majorHAnsi" w:cs="Arial"/>
              <w:sz w:val="20"/>
              <w:szCs w:val="20"/>
            </w:rPr>
            <w:t>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impractical, forcing students to take multiple, unnecessary independent studies</w:t>
          </w:r>
          <w:r w:rsidR="00681B1C">
            <w:rPr>
              <w:rFonts w:asciiTheme="majorHAnsi" w:hAnsiTheme="majorHAnsi" w:cs="Arial"/>
              <w:sz w:val="20"/>
              <w:szCs w:val="20"/>
            </w:rPr>
            <w:t xml:space="preserve"> to reach 39 hours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9227E9" w:rsidRDefault="009227E9" w:rsidP="009227E9">
          <w:pPr>
            <w:pStyle w:val="Pa244"/>
            <w:spacing w:after="8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Bulletin 2014-2015, p. 264.</w:t>
          </w:r>
        </w:p>
        <w:p w:rsidR="009227E9" w:rsidRDefault="009227E9" w:rsidP="00214833">
          <w:pPr>
            <w:pStyle w:val="Pa244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214833" w:rsidRDefault="00214833" w:rsidP="00214833">
          <w:pPr>
            <w:pStyle w:val="Pa244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5"/>
            </w:rPr>
            <w:t xml:space="preserve">Major in World Languages and Cultures </w:t>
          </w:r>
        </w:p>
        <w:p w:rsidR="00214833" w:rsidRDefault="00214833" w:rsidP="00214833">
          <w:pPr>
            <w:pStyle w:val="Pa24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Arts </w:t>
          </w:r>
        </w:p>
        <w:p w:rsidR="00214833" w:rsidRDefault="00214833" w:rsidP="00214833">
          <w:pPr>
            <w:pStyle w:val="Pa24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French </w:t>
          </w:r>
        </w:p>
        <w:p w:rsidR="00214833" w:rsidRDefault="00214833" w:rsidP="00214833">
          <w:pPr>
            <w:pStyle w:val="Pa244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1"/>
            <w:gridCol w:w="3002"/>
          </w:tblGrid>
          <w:tr w:rsidR="00214833">
            <w:trPr>
              <w:trHeight w:val="111"/>
            </w:trPr>
            <w:tc>
              <w:tcPr>
                <w:tcW w:w="6003" w:type="dxa"/>
                <w:gridSpan w:val="2"/>
              </w:tcPr>
              <w:p w:rsidR="00214833" w:rsidRDefault="00214833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214833">
            <w:trPr>
              <w:trHeight w:val="79"/>
            </w:trPr>
            <w:tc>
              <w:tcPr>
                <w:tcW w:w="6003" w:type="dxa"/>
                <w:gridSpan w:val="2"/>
              </w:tcPr>
              <w:p w:rsidR="00214833" w:rsidRDefault="00214833">
                <w:pPr>
                  <w:pStyle w:val="Pa23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See University General Requirements for Baccalaureate degrees (p. 41) </w:t>
                </w:r>
              </w:p>
            </w:tc>
          </w:tr>
          <w:tr w:rsidR="00214833">
            <w:trPr>
              <w:trHeight w:val="111"/>
            </w:trPr>
            <w:tc>
              <w:tcPr>
                <w:tcW w:w="3001" w:type="dxa"/>
              </w:tcPr>
              <w:p w:rsidR="00214833" w:rsidRDefault="00214833">
                <w:pPr>
                  <w:pStyle w:val="Pa22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24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214833">
            <w:trPr>
              <w:trHeight w:val="83"/>
            </w:trPr>
            <w:tc>
              <w:tcPr>
                <w:tcW w:w="3001" w:type="dxa"/>
              </w:tcPr>
              <w:p w:rsidR="00214833" w:rsidRDefault="00214833">
                <w:pPr>
                  <w:pStyle w:val="Pa5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ENG 1023, Making Connections Humanities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 </w:t>
                </w:r>
              </w:p>
            </w:tc>
          </w:tr>
          <w:tr w:rsidR="00214833">
            <w:trPr>
              <w:trHeight w:val="111"/>
            </w:trPr>
            <w:tc>
              <w:tcPr>
                <w:tcW w:w="3001" w:type="dxa"/>
              </w:tcPr>
              <w:p w:rsidR="00214833" w:rsidRDefault="00214833">
                <w:pPr>
                  <w:pStyle w:val="Pa22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24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214833">
            <w:trPr>
              <w:trHeight w:val="296"/>
            </w:trPr>
            <w:tc>
              <w:tcPr>
                <w:tcW w:w="3001" w:type="dxa"/>
              </w:tcPr>
              <w:p w:rsidR="00214833" w:rsidRDefault="00214833">
                <w:pPr>
                  <w:pStyle w:val="Pa5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See General Education Curriculum for Baccalaureate degrees (p. 84) </w:t>
                </w:r>
              </w:p>
              <w:p w:rsidR="00214833" w:rsidRDefault="00214833">
                <w:pPr>
                  <w:pStyle w:val="Pa5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Students with this major must take the following: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  <w:i/>
                    <w:iCs/>
                  </w:rPr>
                  <w:t xml:space="preserve">Six hours of Humanities (Required Departmental Gen. Ed. Option)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35 </w:t>
                </w:r>
              </w:p>
            </w:tc>
          </w:tr>
          <w:tr w:rsidR="00214833" w:rsidTr="00E634F1">
            <w:trPr>
              <w:trHeight w:val="1350"/>
            </w:trPr>
            <w:tc>
              <w:tcPr>
                <w:tcW w:w="3001" w:type="dxa"/>
              </w:tcPr>
              <w:p w:rsidR="00214833" w:rsidRDefault="00214833">
                <w:pPr>
                  <w:pStyle w:val="Pa253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lastRenderedPageBreak/>
                  <w:t xml:space="preserve">Major Requirements: </w:t>
                </w:r>
              </w:p>
              <w:p w:rsidR="00214833" w:rsidRDefault="00214833">
                <w:pPr>
                  <w:pStyle w:val="Pa234"/>
                  <w:spacing w:after="20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Grade of “C” or better required for all Major Requirements. At least 12 credit hours must be at the 4000 level. A minimum of six credit hours of study abroad is required.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24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214833">
            <w:trPr>
              <w:trHeight w:val="79"/>
            </w:trPr>
            <w:tc>
              <w:tcPr>
                <w:tcW w:w="3001" w:type="dxa"/>
              </w:tcPr>
              <w:p w:rsidR="00214833" w:rsidRDefault="00214833">
                <w:pPr>
                  <w:pStyle w:val="Pa5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3183, French Conversation and Phonetics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214833">
            <w:trPr>
              <w:trHeight w:val="79"/>
            </w:trPr>
            <w:tc>
              <w:tcPr>
                <w:tcW w:w="3001" w:type="dxa"/>
              </w:tcPr>
              <w:p w:rsidR="00214833" w:rsidRDefault="00214833">
                <w:pPr>
                  <w:pStyle w:val="Pa5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3413, Introduction to French Literature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214833">
            <w:trPr>
              <w:trHeight w:val="79"/>
            </w:trPr>
            <w:tc>
              <w:tcPr>
                <w:tcW w:w="3001" w:type="dxa"/>
              </w:tcPr>
              <w:p w:rsidR="00214833" w:rsidRDefault="00214833">
                <w:pPr>
                  <w:pStyle w:val="Pa5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3463, Advanced French Grammar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214833">
            <w:trPr>
              <w:trHeight w:val="79"/>
            </w:trPr>
            <w:tc>
              <w:tcPr>
                <w:tcW w:w="3001" w:type="dxa"/>
              </w:tcPr>
              <w:p w:rsidR="00214833" w:rsidRPr="00191701" w:rsidRDefault="00214833">
                <w:pPr>
                  <w:pStyle w:val="Pa59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91701">
                  <w:rPr>
                    <w:rStyle w:val="A16"/>
                    <w:b w:val="0"/>
                    <w:bCs w:val="0"/>
                    <w:strike/>
                    <w:color w:val="FF0000"/>
                  </w:rPr>
                  <w:t xml:space="preserve">FR 3473, Reading and Composition in French </w:t>
                </w:r>
              </w:p>
            </w:tc>
            <w:tc>
              <w:tcPr>
                <w:tcW w:w="3001" w:type="dxa"/>
              </w:tcPr>
              <w:p w:rsidR="00214833" w:rsidRPr="00191701" w:rsidRDefault="00214833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191701">
                  <w:rPr>
                    <w:rStyle w:val="A16"/>
                    <w:b w:val="0"/>
                    <w:bCs w:val="0"/>
                    <w:strike/>
                    <w:color w:val="FF0000"/>
                  </w:rPr>
                  <w:t>3</w:t>
                </w:r>
                <w:r w:rsidRPr="00191701">
                  <w:rPr>
                    <w:rStyle w:val="A16"/>
                    <w:b w:val="0"/>
                    <w:bCs w:val="0"/>
                    <w:strike/>
                  </w:rPr>
                  <w:t xml:space="preserve"> </w:t>
                </w:r>
              </w:p>
            </w:tc>
          </w:tr>
          <w:tr w:rsidR="00214833">
            <w:trPr>
              <w:trHeight w:val="800"/>
            </w:trPr>
            <w:tc>
              <w:tcPr>
                <w:tcW w:w="3001" w:type="dxa"/>
              </w:tcPr>
              <w:p w:rsidR="008A4206" w:rsidRPr="008A4206" w:rsidRDefault="00214833" w:rsidP="008A4206">
                <w:pPr>
                  <w:pStyle w:val="Pa59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Select </w:t>
                </w:r>
                <w:r w:rsidRPr="00E634F1">
                  <w:rPr>
                    <w:rStyle w:val="A16"/>
                    <w:strike/>
                    <w:color w:val="FF0000"/>
                  </w:rPr>
                  <w:t xml:space="preserve">twenty-seven </w:t>
                </w:r>
                <w:r w:rsidR="00E634F1" w:rsidRPr="00E634F1">
                  <w:rPr>
                    <w:rStyle w:val="A16"/>
                    <w:color w:val="FF0000"/>
                  </w:rPr>
                  <w:t xml:space="preserve"> </w:t>
                </w:r>
                <w:r w:rsidR="008A4206" w:rsidRPr="008A4206">
                  <w:rPr>
                    <w:rStyle w:val="A16"/>
                    <w:color w:val="FF0000"/>
                    <w:sz w:val="16"/>
                  </w:rPr>
                  <w:t xml:space="preserve">twenty-one </w:t>
                </w:r>
                <w:r>
                  <w:rPr>
                    <w:rStyle w:val="A16"/>
                  </w:rPr>
                  <w:t xml:space="preserve">hours from the following: </w:t>
                </w:r>
              </w:p>
              <w:p w:rsidR="00214833" w:rsidRDefault="008A4206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8A4206">
                  <w:rPr>
                    <w:rStyle w:val="A16"/>
                    <w:b w:val="0"/>
                    <w:bCs w:val="0"/>
                    <w:color w:val="FF0000"/>
                    <w:sz w:val="16"/>
                  </w:rPr>
                  <w:t>FR 3473, Reading and Composition in French</w:t>
                </w:r>
                <w:r>
                  <w:rPr>
                    <w:rStyle w:val="A16"/>
                    <w:b w:val="0"/>
                    <w:bCs w:val="0"/>
                  </w:rPr>
                  <w:br/>
                </w:r>
                <w:r w:rsidR="00214833">
                  <w:rPr>
                    <w:rStyle w:val="A16"/>
                    <w:b w:val="0"/>
                    <w:bCs w:val="0"/>
                  </w:rPr>
                  <w:t xml:space="preserve">FR 3613, French Civilization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3623, Contemporary France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3703, French for International Business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4203, Advanced Oral Communication in French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4413, Survey of French Literature I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4423, Survey of French Literature II </w:t>
                </w:r>
              </w:p>
              <w:p w:rsidR="00214833" w:rsidRDefault="00214833">
                <w:pPr>
                  <w:pStyle w:val="Pa21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FR 4503, Special Topics (may be repeated for credit if content varies) </w:t>
                </w:r>
              </w:p>
              <w:p w:rsidR="00214833" w:rsidRDefault="00214833">
                <w:pPr>
                  <w:pStyle w:val="Pa210"/>
                  <w:ind w:hanging="10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Any additional French electives or pre-approved study abroad </w:t>
                </w:r>
                <w:r w:rsidRPr="00E634F1">
                  <w:rPr>
                    <w:rStyle w:val="A16"/>
                    <w:b w:val="0"/>
                    <w:bCs w:val="0"/>
                    <w:strike/>
                    <w:color w:val="FF0000"/>
                  </w:rPr>
                  <w:t>or up to three courses related to the target language or culture not taught in the target language (requires advisor approval)</w:t>
                </w:r>
                <w:r w:rsidRPr="00E634F1">
                  <w:rPr>
                    <w:rStyle w:val="A16"/>
                    <w:b w:val="0"/>
                    <w:bCs w:val="0"/>
                    <w:color w:val="FF0000"/>
                  </w:rPr>
                  <w:t xml:space="preserve"> </w:t>
                </w:r>
              </w:p>
            </w:tc>
            <w:tc>
              <w:tcPr>
                <w:tcW w:w="3001" w:type="dxa"/>
              </w:tcPr>
              <w:p w:rsidR="00214833" w:rsidRPr="00E634F1" w:rsidRDefault="00214833" w:rsidP="00191701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E634F1">
                  <w:rPr>
                    <w:rStyle w:val="A16"/>
                    <w:b w:val="0"/>
                    <w:bCs w:val="0"/>
                    <w:strike/>
                    <w:color w:val="FF0000"/>
                  </w:rPr>
                  <w:t>27</w:t>
                </w:r>
                <w:r w:rsidRPr="00E634F1">
                  <w:rPr>
                    <w:rStyle w:val="A16"/>
                    <w:b w:val="0"/>
                    <w:bCs w:val="0"/>
                    <w:color w:val="FF0000"/>
                  </w:rPr>
                  <w:t xml:space="preserve"> </w:t>
                </w:r>
                <w:r w:rsidR="00191701" w:rsidRPr="008A4206">
                  <w:rPr>
                    <w:rStyle w:val="A16"/>
                    <w:b w:val="0"/>
                    <w:bCs w:val="0"/>
                    <w:color w:val="FF0000"/>
                    <w:sz w:val="16"/>
                  </w:rPr>
                  <w:t>21</w:t>
                </w:r>
              </w:p>
            </w:tc>
          </w:tr>
          <w:tr w:rsidR="00214833">
            <w:trPr>
              <w:trHeight w:val="79"/>
            </w:trPr>
            <w:tc>
              <w:tcPr>
                <w:tcW w:w="3001" w:type="dxa"/>
              </w:tcPr>
              <w:p w:rsidR="00214833" w:rsidRDefault="00214833">
                <w:pPr>
                  <w:pStyle w:val="Pa23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WLAN 4010, Learning Outcome Assessment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0 </w:t>
                </w:r>
              </w:p>
            </w:tc>
          </w:tr>
          <w:tr w:rsidR="00214833">
            <w:trPr>
              <w:trHeight w:val="83"/>
            </w:trPr>
            <w:tc>
              <w:tcPr>
                <w:tcW w:w="3001" w:type="dxa"/>
              </w:tcPr>
              <w:p w:rsidR="00214833" w:rsidRDefault="00214833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Sub-total </w:t>
                </w:r>
              </w:p>
            </w:tc>
            <w:tc>
              <w:tcPr>
                <w:tcW w:w="3001" w:type="dxa"/>
              </w:tcPr>
              <w:p w:rsidR="00214833" w:rsidRPr="002C31AB" w:rsidRDefault="00214833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2C31AB">
                  <w:rPr>
                    <w:rStyle w:val="A16"/>
                    <w:strike/>
                    <w:color w:val="FF0000"/>
                  </w:rPr>
                  <w:t>39</w:t>
                </w:r>
                <w:r w:rsidRPr="002C31AB">
                  <w:rPr>
                    <w:rStyle w:val="A16"/>
                    <w:color w:val="FF0000"/>
                    <w:sz w:val="16"/>
                  </w:rPr>
                  <w:t xml:space="preserve"> </w:t>
                </w:r>
                <w:r w:rsidR="002C31AB" w:rsidRPr="002C31AB">
                  <w:rPr>
                    <w:rStyle w:val="A16"/>
                    <w:color w:val="FF0000"/>
                    <w:sz w:val="16"/>
                  </w:rPr>
                  <w:t>30</w:t>
                </w:r>
              </w:p>
            </w:tc>
          </w:tr>
          <w:tr w:rsidR="00214833">
            <w:trPr>
              <w:trHeight w:val="111"/>
            </w:trPr>
            <w:tc>
              <w:tcPr>
                <w:tcW w:w="3001" w:type="dxa"/>
              </w:tcPr>
              <w:p w:rsidR="00214833" w:rsidRDefault="00214833">
                <w:pPr>
                  <w:pStyle w:val="Pa22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24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214833">
            <w:trPr>
              <w:trHeight w:val="83"/>
            </w:trPr>
            <w:tc>
              <w:tcPr>
                <w:tcW w:w="3001" w:type="dxa"/>
              </w:tcPr>
              <w:p w:rsidR="00214833" w:rsidRDefault="00214833">
                <w:pPr>
                  <w:pStyle w:val="Pa5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Electives </w:t>
                </w:r>
              </w:p>
            </w:tc>
            <w:tc>
              <w:tcPr>
                <w:tcW w:w="3001" w:type="dxa"/>
              </w:tcPr>
              <w:p w:rsidR="00214833" w:rsidRPr="00E634F1" w:rsidRDefault="00214833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E634F1">
                  <w:rPr>
                    <w:rStyle w:val="A16"/>
                    <w:strike/>
                    <w:color w:val="FF0000"/>
                  </w:rPr>
                  <w:t>43</w:t>
                </w:r>
                <w:r w:rsidRPr="008A4206">
                  <w:rPr>
                    <w:rStyle w:val="A16"/>
                    <w:color w:val="FF0000"/>
                    <w:sz w:val="16"/>
                  </w:rPr>
                  <w:t xml:space="preserve"> </w:t>
                </w:r>
                <w:r w:rsidR="00E634F1" w:rsidRPr="008A4206">
                  <w:rPr>
                    <w:rStyle w:val="A16"/>
                    <w:color w:val="FF0000"/>
                    <w:sz w:val="16"/>
                  </w:rPr>
                  <w:t>52</w:t>
                </w:r>
              </w:p>
            </w:tc>
          </w:tr>
          <w:tr w:rsidR="00214833">
            <w:trPr>
              <w:trHeight w:val="111"/>
            </w:trPr>
            <w:tc>
              <w:tcPr>
                <w:tcW w:w="3001" w:type="dxa"/>
              </w:tcPr>
              <w:p w:rsidR="00214833" w:rsidRDefault="00214833">
                <w:pPr>
                  <w:pStyle w:val="Pa22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1" w:type="dxa"/>
              </w:tcPr>
              <w:p w:rsidR="00214833" w:rsidRDefault="00214833">
                <w:pPr>
                  <w:pStyle w:val="Pa24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4E5007" w:rsidRDefault="00B15C6A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2E" w:rsidRDefault="0050262E" w:rsidP="00AF3758">
      <w:pPr>
        <w:spacing w:after="0" w:line="240" w:lineRule="auto"/>
      </w:pPr>
      <w:r>
        <w:separator/>
      </w:r>
    </w:p>
  </w:endnote>
  <w:endnote w:type="continuationSeparator" w:id="0">
    <w:p w:rsidR="0050262E" w:rsidRDefault="0050262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2E" w:rsidRDefault="0050262E" w:rsidP="00AF3758">
      <w:pPr>
        <w:spacing w:after="0" w:line="240" w:lineRule="auto"/>
      </w:pPr>
      <w:r>
        <w:separator/>
      </w:r>
    </w:p>
  </w:footnote>
  <w:footnote w:type="continuationSeparator" w:id="0">
    <w:p w:rsidR="0050262E" w:rsidRDefault="0050262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81F9A"/>
    <w:rsid w:val="000A7C2E"/>
    <w:rsid w:val="000D06F1"/>
    <w:rsid w:val="00103070"/>
    <w:rsid w:val="0014025C"/>
    <w:rsid w:val="00151451"/>
    <w:rsid w:val="00152424"/>
    <w:rsid w:val="0018269B"/>
    <w:rsid w:val="00185D67"/>
    <w:rsid w:val="0018711E"/>
    <w:rsid w:val="00191701"/>
    <w:rsid w:val="001A5DD5"/>
    <w:rsid w:val="001C59D8"/>
    <w:rsid w:val="001E3C4D"/>
    <w:rsid w:val="001F010C"/>
    <w:rsid w:val="001F5E9E"/>
    <w:rsid w:val="00212A76"/>
    <w:rsid w:val="00214833"/>
    <w:rsid w:val="0022350B"/>
    <w:rsid w:val="002315B0"/>
    <w:rsid w:val="00254447"/>
    <w:rsid w:val="00261ACE"/>
    <w:rsid w:val="00265C17"/>
    <w:rsid w:val="002776C2"/>
    <w:rsid w:val="002C31AB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D7238"/>
    <w:rsid w:val="00400712"/>
    <w:rsid w:val="004072F1"/>
    <w:rsid w:val="00464B06"/>
    <w:rsid w:val="00473252"/>
    <w:rsid w:val="00487771"/>
    <w:rsid w:val="00492F7C"/>
    <w:rsid w:val="004A7706"/>
    <w:rsid w:val="004C4BE9"/>
    <w:rsid w:val="004E5007"/>
    <w:rsid w:val="004F3C87"/>
    <w:rsid w:val="004F3EC2"/>
    <w:rsid w:val="0050252B"/>
    <w:rsid w:val="0050262E"/>
    <w:rsid w:val="00504BCC"/>
    <w:rsid w:val="00515205"/>
    <w:rsid w:val="00526B81"/>
    <w:rsid w:val="00542852"/>
    <w:rsid w:val="005502F7"/>
    <w:rsid w:val="00584C22"/>
    <w:rsid w:val="00592A95"/>
    <w:rsid w:val="006179CB"/>
    <w:rsid w:val="00636DB3"/>
    <w:rsid w:val="006650CD"/>
    <w:rsid w:val="006657FB"/>
    <w:rsid w:val="00677A48"/>
    <w:rsid w:val="00681B1C"/>
    <w:rsid w:val="006B52C0"/>
    <w:rsid w:val="006D0246"/>
    <w:rsid w:val="006E1A8B"/>
    <w:rsid w:val="006E6117"/>
    <w:rsid w:val="006E6FEC"/>
    <w:rsid w:val="00712045"/>
    <w:rsid w:val="0073025F"/>
    <w:rsid w:val="0073125A"/>
    <w:rsid w:val="00750AF6"/>
    <w:rsid w:val="007A06B9"/>
    <w:rsid w:val="007B263A"/>
    <w:rsid w:val="0083170D"/>
    <w:rsid w:val="00853899"/>
    <w:rsid w:val="00887A1B"/>
    <w:rsid w:val="008A4206"/>
    <w:rsid w:val="008A795D"/>
    <w:rsid w:val="008C703B"/>
    <w:rsid w:val="008E6C1C"/>
    <w:rsid w:val="009227E9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5C6A"/>
    <w:rsid w:val="00B1628A"/>
    <w:rsid w:val="00B21776"/>
    <w:rsid w:val="00B35368"/>
    <w:rsid w:val="00BD2A0D"/>
    <w:rsid w:val="00BE069E"/>
    <w:rsid w:val="00BE4E09"/>
    <w:rsid w:val="00C12816"/>
    <w:rsid w:val="00C132F9"/>
    <w:rsid w:val="00C23CC7"/>
    <w:rsid w:val="00C334FF"/>
    <w:rsid w:val="00C723B8"/>
    <w:rsid w:val="00CA6230"/>
    <w:rsid w:val="00D0686A"/>
    <w:rsid w:val="00D30536"/>
    <w:rsid w:val="00D51205"/>
    <w:rsid w:val="00D57716"/>
    <w:rsid w:val="00D654AF"/>
    <w:rsid w:val="00D67AC4"/>
    <w:rsid w:val="00D72E20"/>
    <w:rsid w:val="00D76DEE"/>
    <w:rsid w:val="00D91126"/>
    <w:rsid w:val="00D979DD"/>
    <w:rsid w:val="00DA3F9B"/>
    <w:rsid w:val="00DB3983"/>
    <w:rsid w:val="00E45868"/>
    <w:rsid w:val="00E634F1"/>
    <w:rsid w:val="00E87CA5"/>
    <w:rsid w:val="00EA1171"/>
    <w:rsid w:val="00EB4FF5"/>
    <w:rsid w:val="00EB6A48"/>
    <w:rsid w:val="00EC6970"/>
    <w:rsid w:val="00EE55A2"/>
    <w:rsid w:val="00EF2A44"/>
    <w:rsid w:val="00F645B5"/>
    <w:rsid w:val="00F75657"/>
    <w:rsid w:val="00F87993"/>
    <w:rsid w:val="00FB00D4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4">
    <w:name w:val="Pa244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14833"/>
    <w:rPr>
      <w:rFonts w:cs="Myriad Pro Cond"/>
      <w:b/>
      <w:bCs/>
      <w:color w:val="000000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14833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0">
    <w:name w:val="Pa230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14833"/>
    <w:rPr>
      <w:rFonts w:ascii="Arial" w:hAnsi="Arial" w:cs="Arial"/>
      <w:b/>
      <w:bCs/>
      <w:color w:val="000000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44">
    <w:name w:val="Pa244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14833"/>
    <w:rPr>
      <w:rFonts w:cs="Myriad Pro Cond"/>
      <w:b/>
      <w:bCs/>
      <w:color w:val="000000"/>
      <w:sz w:val="32"/>
      <w:szCs w:val="32"/>
    </w:rPr>
  </w:style>
  <w:style w:type="paragraph" w:customStyle="1" w:styleId="Pa240">
    <w:name w:val="Pa240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14833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0">
    <w:name w:val="Pa230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214833"/>
    <w:rPr>
      <w:rFonts w:ascii="Arial" w:hAnsi="Arial" w:cs="Arial"/>
      <w:b/>
      <w:bCs/>
      <w:color w:val="000000"/>
      <w:sz w:val="12"/>
      <w:szCs w:val="12"/>
    </w:rPr>
  </w:style>
  <w:style w:type="paragraph" w:customStyle="1" w:styleId="Pa229">
    <w:name w:val="Pa229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0">
    <w:name w:val="Pa210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21483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21483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030B"/>
    <w:rsid w:val="00293680"/>
    <w:rsid w:val="004027ED"/>
    <w:rsid w:val="004068B1"/>
    <w:rsid w:val="00444715"/>
    <w:rsid w:val="0045160E"/>
    <w:rsid w:val="004E1A75"/>
    <w:rsid w:val="00587536"/>
    <w:rsid w:val="005D5D2F"/>
    <w:rsid w:val="00623293"/>
    <w:rsid w:val="00636142"/>
    <w:rsid w:val="006C0858"/>
    <w:rsid w:val="00702512"/>
    <w:rsid w:val="00750DF1"/>
    <w:rsid w:val="007C429E"/>
    <w:rsid w:val="0088172E"/>
    <w:rsid w:val="009116C1"/>
    <w:rsid w:val="009C0E11"/>
    <w:rsid w:val="00AC3009"/>
    <w:rsid w:val="00AD5D56"/>
    <w:rsid w:val="00B2559E"/>
    <w:rsid w:val="00B46AFF"/>
    <w:rsid w:val="00BA2926"/>
    <w:rsid w:val="00C16165"/>
    <w:rsid w:val="00C35680"/>
    <w:rsid w:val="00CC1D20"/>
    <w:rsid w:val="00CD4EF8"/>
    <w:rsid w:val="00D72FD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2015-03-19T16:09:00Z</dcterms:created>
  <dcterms:modified xsi:type="dcterms:W3CDTF">2015-03-19T16:09:00Z</dcterms:modified>
</cp:coreProperties>
</file>